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E8AB" w14:textId="77777777" w:rsidR="00E462CF" w:rsidRDefault="00322FEB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KİTAP DEĞERLENDİRME FORMU</w:t>
      </w:r>
    </w:p>
    <w:p w14:paraId="40DCB73F" w14:textId="77777777" w:rsidR="00E462CF" w:rsidRDefault="00E462CF">
      <w:pPr>
        <w:rPr>
          <w:sz w:val="22"/>
        </w:rPr>
      </w:pPr>
    </w:p>
    <w:p w14:paraId="6E6EBE88" w14:textId="77777777" w:rsidR="00E462CF" w:rsidRDefault="00E462CF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454"/>
        <w:gridCol w:w="2655"/>
        <w:gridCol w:w="5105"/>
      </w:tblGrid>
      <w:tr w:rsidR="00233734" w14:paraId="3ECDA1E8" w14:textId="77777777">
        <w:tc>
          <w:tcPr>
            <w:tcW w:w="1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04EA9" w14:textId="77777777" w:rsidR="00233734" w:rsidRDefault="00233734" w:rsidP="00233734">
            <w:pPr>
              <w:spacing w:beforeAutospacing="1" w:afterAutospacing="1"/>
              <w:jc w:val="both"/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266890" w14:textId="77777777" w:rsidR="00233734" w:rsidRDefault="00233734" w:rsidP="00233734">
            <w:pPr>
              <w:spacing w:beforeAutospacing="1" w:afterAutospacing="1"/>
              <w:jc w:val="both"/>
            </w:pPr>
            <w:r>
              <w:rPr>
                <w:b/>
                <w:color w:val="000000"/>
                <w:szCs w:val="22"/>
              </w:rPr>
              <w:t>Adı Soyadı: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861481" w14:textId="152BADD7" w:rsidR="00233734" w:rsidRDefault="00233734" w:rsidP="00233734"/>
        </w:tc>
      </w:tr>
      <w:tr w:rsidR="00233734" w14:paraId="72D3B251" w14:textId="77777777"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923A9" w14:textId="77777777" w:rsidR="00233734" w:rsidRDefault="00233734" w:rsidP="00233734">
            <w:pPr>
              <w:spacing w:beforeAutospacing="1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9F731" w14:textId="77777777" w:rsidR="00233734" w:rsidRDefault="00233734" w:rsidP="00233734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T.C. Kimlik Numarası: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CE2C1" w14:textId="1A93292D" w:rsidR="00233734" w:rsidRDefault="00233734" w:rsidP="00233734"/>
        </w:tc>
      </w:tr>
      <w:tr w:rsidR="00233734" w14:paraId="208F6313" w14:textId="77777777"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CD413" w14:textId="77777777" w:rsidR="00233734" w:rsidRDefault="00233734" w:rsidP="00233734">
            <w:pPr>
              <w:spacing w:beforeAutospacing="1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10A01C" w14:textId="77777777" w:rsidR="00233734" w:rsidRDefault="00233734" w:rsidP="00233734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Branşı: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DB4FC0" w14:textId="16A11216" w:rsidR="00233734" w:rsidRDefault="00233734" w:rsidP="00233734"/>
        </w:tc>
      </w:tr>
      <w:tr w:rsidR="00233734" w14:paraId="582A9227" w14:textId="77777777">
        <w:trPr>
          <w:trHeight w:val="70"/>
        </w:trPr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8A014" w14:textId="77777777" w:rsidR="00233734" w:rsidRDefault="00233734" w:rsidP="00233734">
            <w:pPr>
              <w:spacing w:beforeAutospacing="1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1E062" w14:textId="77777777" w:rsidR="00233734" w:rsidRDefault="00233734" w:rsidP="00233734">
            <w:pPr>
              <w:spacing w:beforeAutospacing="1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Okul/Kurum-İl/İlçe:</w:t>
            </w:r>
          </w:p>
        </w:tc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9BD28" w14:textId="28ADD36D" w:rsidR="00233734" w:rsidRDefault="00233734" w:rsidP="00233734"/>
        </w:tc>
      </w:tr>
    </w:tbl>
    <w:p w14:paraId="7435CE49" w14:textId="77777777" w:rsidR="00E462CF" w:rsidRDefault="00E462CF">
      <w:pPr>
        <w:rPr>
          <w:sz w:val="22"/>
        </w:rPr>
      </w:pPr>
    </w:p>
    <w:tbl>
      <w:tblPr>
        <w:tblStyle w:val="TabloKlavuzu"/>
        <w:tblW w:w="9209" w:type="dxa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E462CF" w14:paraId="4883A8DB" w14:textId="77777777">
        <w:trPr>
          <w:trHeight w:val="510"/>
        </w:trPr>
        <w:tc>
          <w:tcPr>
            <w:tcW w:w="9209" w:type="dxa"/>
            <w:shd w:val="clear" w:color="auto" w:fill="auto"/>
          </w:tcPr>
          <w:p w14:paraId="4F37CAD8" w14:textId="77777777" w:rsidR="00E462CF" w:rsidRDefault="00322FEB">
            <w:pPr>
              <w:rPr>
                <w:b/>
              </w:rPr>
            </w:pPr>
            <w:r>
              <w:rPr>
                <w:b/>
              </w:rPr>
              <w:t>Kitabın adı ve yazarı:</w:t>
            </w:r>
          </w:p>
          <w:p w14:paraId="2A6D91EB" w14:textId="77777777" w:rsidR="00E462CF" w:rsidRDefault="00322FEB">
            <w:r>
              <w:rPr>
                <w:b/>
              </w:rPr>
              <w:t xml:space="preserve">     </w:t>
            </w:r>
            <w:r>
              <w:t xml:space="preserve"> CAHİL HOCA – JACKQUES  RANCİERE </w:t>
            </w:r>
          </w:p>
        </w:tc>
      </w:tr>
      <w:tr w:rsidR="00E462CF" w14:paraId="68A12BBB" w14:textId="77777777">
        <w:tc>
          <w:tcPr>
            <w:tcW w:w="9209" w:type="dxa"/>
            <w:shd w:val="clear" w:color="auto" w:fill="auto"/>
          </w:tcPr>
          <w:p w14:paraId="7DF1B425" w14:textId="77777777" w:rsidR="00E462CF" w:rsidRDefault="00322FEB">
            <w:r>
              <w:rPr>
                <w:b/>
              </w:rPr>
              <w:t xml:space="preserve">Okumuş olduğunuz kitabın mesleki ve kişisel gelişiminize nasıl bir katkıda bulunduğunu ayrıntılı olarak örneklerle açıklayınız: </w:t>
            </w:r>
          </w:p>
          <w:p w14:paraId="3C98E06F" w14:textId="77777777" w:rsidR="00E462CF" w:rsidRDefault="00E462CF">
            <w:pPr>
              <w:rPr>
                <w:b/>
              </w:rPr>
            </w:pPr>
          </w:p>
          <w:p w14:paraId="4FE6D8DE" w14:textId="77777777" w:rsidR="00E462CF" w:rsidRDefault="00322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1800 yıllarda Belçika’nın </w:t>
            </w:r>
            <w:proofErr w:type="spellStart"/>
            <w:r>
              <w:rPr>
                <w:sz w:val="20"/>
                <w:szCs w:val="20"/>
              </w:rPr>
              <w:t>Leuven</w:t>
            </w:r>
            <w:proofErr w:type="spellEnd"/>
            <w:r>
              <w:rPr>
                <w:sz w:val="20"/>
                <w:szCs w:val="20"/>
              </w:rPr>
              <w:t xml:space="preserve"> kentinde Fransız Edebiyatı Okutmanı olan Joseph </w:t>
            </w:r>
            <w:proofErr w:type="spellStart"/>
            <w:r>
              <w:rPr>
                <w:sz w:val="20"/>
                <w:szCs w:val="20"/>
              </w:rPr>
              <w:t>Jacatot</w:t>
            </w:r>
            <w:proofErr w:type="spellEnd"/>
            <w:r>
              <w:rPr>
                <w:sz w:val="20"/>
                <w:szCs w:val="20"/>
              </w:rPr>
              <w:t xml:space="preserve"> öğretmen olarak çalışmaya başlar. </w:t>
            </w:r>
          </w:p>
          <w:p w14:paraId="661A8E9E" w14:textId="77777777" w:rsidR="00E462CF" w:rsidRDefault="00322FEB">
            <w:pPr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Tek kelime Fransızca bilmeyen Flamanlara, kendisi de tek kelime Flamanca bilmediği halde hocalık etmek zorundadır... İki dilli bir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Fénelon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baskısı koşar imdadına; "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öğrencileri"nin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kendi kendilerine Fransızca ve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Telemak'ı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öğrenmelerine kılavuzluk eder. İnsanın bilmediğini de öğretebileceğini gösteren bu tuhaf deneyin sezdirdiği kaçınılmaz sonucu anlamakta hiç gecikmez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Jacotot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: Bilen ile bilmeyenin, öğreten ile öğrenenin, kol emekçisi ile zihin emekçisinin, kısacası zekâların eşitliği. Bu şaşırtıcı hikâyeyi ve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Jacotot'nun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felsefesini anlatan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Jacques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shd w:val="clear" w:color="auto" w:fill="FFFFFF"/>
              </w:rPr>
              <w:t>Rancière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hem eğitim üzerine çok özgün bir düşünce sunuyor hem de zekâların eşitsizliğini ve bilgi hiyerarşisini bahane eden toplumsal eşitsizlik tasavvurlarına önemli eleştiriler getiriyor. "Özgürleştirmeksizin eğiten aptallaştırır," der Cahil Hoca.</w:t>
            </w:r>
          </w:p>
          <w:p w14:paraId="23DE38AA" w14:textId="77777777" w:rsidR="00E462CF" w:rsidRDefault="00E462CF">
            <w:pPr>
              <w:rPr>
                <w:color w:val="333333"/>
                <w:sz w:val="20"/>
                <w:szCs w:val="20"/>
                <w:highlight w:val="white"/>
              </w:rPr>
            </w:pPr>
          </w:p>
          <w:p w14:paraId="1F308F80" w14:textId="77777777" w:rsidR="00E462CF" w:rsidRDefault="00322FEB">
            <w:pPr>
              <w:pStyle w:val="NormalWeb"/>
              <w:shd w:val="clear" w:color="auto" w:fill="FFFFFF"/>
              <w:spacing w:beforeAutospacing="0" w:after="240" w:afterAutospacing="0"/>
              <w:textAlignment w:val="baseline"/>
              <w:rPr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 xml:space="preserve">Kişi ne öğrenmek isterse istesin eline </w:t>
            </w:r>
            <w:proofErr w:type="spellStart"/>
            <w:r>
              <w:rPr>
                <w:color w:val="474747"/>
                <w:sz w:val="20"/>
                <w:szCs w:val="20"/>
              </w:rPr>
              <w:t>Telemak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 verilir. Öğrendiklerinden ne düşündüğü, ne yaptığı sorulur. Çünkü, kitapta her şeyin bir maddi karşılığı vardır ve bunu göstermek zorundadır. Zihinsel kapasitenin hiyerarşisinin olmadığını söyleyen </w:t>
            </w:r>
            <w:proofErr w:type="spellStart"/>
            <w:r>
              <w:rPr>
                <w:color w:val="474747"/>
                <w:sz w:val="20"/>
                <w:szCs w:val="20"/>
              </w:rPr>
              <w:t>Jacotot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, aslında ortaya yepyeni bir yöntem çıkarmıştır. </w:t>
            </w:r>
            <w:proofErr w:type="spellStart"/>
            <w:r>
              <w:rPr>
                <w:color w:val="474747"/>
                <w:sz w:val="20"/>
                <w:szCs w:val="20"/>
              </w:rPr>
              <w:t>Jacotot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 Yöntemi. Bu iyi öğrenmek ya da eksik öğrenmek değil, öğrenme serüvenine atlamaya cesaret etmektir. İyi hocaların sırrı; zekaya gizlice yol göstermek! Sorularıyla asla özgürleştirmediğini sadece bilgiye giden yolu gösterdiği için, bu işe kafa yoran Sokrates’e attığı taş oldukça büyüktür: “Açıklayan her hocanın içinde Sokrates vardır” diyerek </w:t>
            </w:r>
            <w:proofErr w:type="spellStart"/>
            <w:r>
              <w:rPr>
                <w:color w:val="474747"/>
                <w:sz w:val="20"/>
                <w:szCs w:val="20"/>
              </w:rPr>
              <w:t>Sokratesçiliğin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 kusursuz aptallaştırma olduğunu ileri sürüyor.</w:t>
            </w:r>
          </w:p>
          <w:p w14:paraId="24FDEEC1" w14:textId="77777777" w:rsidR="00E462CF" w:rsidRDefault="00322FEB">
            <w:pPr>
              <w:pStyle w:val="NormalWeb"/>
              <w:shd w:val="clear" w:color="auto" w:fill="FFFFFF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 xml:space="preserve">Günümüzde pedagojik verilerin dışına çıkmayan toplumun </w:t>
            </w:r>
            <w:proofErr w:type="spellStart"/>
            <w:r>
              <w:rPr>
                <w:color w:val="474747"/>
                <w:sz w:val="20"/>
                <w:szCs w:val="20"/>
              </w:rPr>
              <w:t>Jacotot’un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 yöntemini hiç sevmediği aşikâr! Çünkü buna olur vermek diğer yandan hocanın hiçbir yerde eşitsizliğinin olduğuna inanmaması demek. Ast-üst meselesi oldukça derinlerde… Toplum bu kadar </w:t>
            </w:r>
            <w:proofErr w:type="spellStart"/>
            <w:r>
              <w:rPr>
                <w:color w:val="474747"/>
                <w:sz w:val="20"/>
                <w:szCs w:val="20"/>
              </w:rPr>
              <w:t>pedagojikleştirilmişken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, özellikle cumhuriyetçilerin ilkesi haline gelen halkın egemenliği ne yazık ki özgürleşme ile çatışma halindedir. </w:t>
            </w:r>
          </w:p>
          <w:p w14:paraId="3CBD2001" w14:textId="77777777" w:rsidR="00E462CF" w:rsidRDefault="00E462CF">
            <w:pPr>
              <w:pStyle w:val="NormalWeb"/>
              <w:shd w:val="clear" w:color="auto" w:fill="FFFFFF"/>
              <w:spacing w:beforeAutospacing="0" w:afterAutospacing="0"/>
              <w:textAlignment w:val="baseline"/>
              <w:rPr>
                <w:color w:val="474747"/>
                <w:sz w:val="20"/>
                <w:szCs w:val="20"/>
              </w:rPr>
            </w:pPr>
          </w:p>
          <w:p w14:paraId="3E81A18D" w14:textId="77777777" w:rsidR="00E462CF" w:rsidRDefault="00322FEB">
            <w:pPr>
              <w:pStyle w:val="NormalWeb"/>
              <w:shd w:val="clear" w:color="auto" w:fill="FFFFFF"/>
              <w:spacing w:beforeAutospacing="0" w:afterAutospacing="0"/>
              <w:textAlignment w:val="baseline"/>
            </w:pPr>
            <w:r>
              <w:rPr>
                <w:color w:val="474747"/>
                <w:sz w:val="20"/>
                <w:szCs w:val="20"/>
              </w:rPr>
              <w:t xml:space="preserve">Aydınlanmışların görevinin </w:t>
            </w:r>
            <w:proofErr w:type="spellStart"/>
            <w:r>
              <w:rPr>
                <w:color w:val="474747"/>
                <w:sz w:val="20"/>
                <w:szCs w:val="20"/>
              </w:rPr>
              <w:t>karartmacıları</w:t>
            </w:r>
            <w:proofErr w:type="spellEnd"/>
            <w:r>
              <w:rPr>
                <w:color w:val="474747"/>
                <w:sz w:val="20"/>
                <w:szCs w:val="20"/>
              </w:rPr>
              <w:t xml:space="preserve"> aydınlatmak olmadığını anlatan</w:t>
            </w:r>
            <w:r>
              <w:rPr>
                <w:rStyle w:val="apple-converted-space"/>
                <w:color w:val="474747"/>
                <w:sz w:val="20"/>
                <w:szCs w:val="20"/>
              </w:rPr>
              <w:t> </w:t>
            </w:r>
            <w:r>
              <w:rPr>
                <w:rStyle w:val="Vurgu"/>
                <w:color w:val="474747"/>
                <w:sz w:val="20"/>
                <w:szCs w:val="20"/>
              </w:rPr>
              <w:t>Cahil Hoca</w:t>
            </w:r>
            <w:r>
              <w:rPr>
                <w:color w:val="474747"/>
                <w:sz w:val="20"/>
                <w:szCs w:val="20"/>
              </w:rPr>
              <w:t xml:space="preserve">, zeka eşitsizliği diye bir şeyin olmadığı düşüncesini yüksek sesle söylüyor. </w:t>
            </w:r>
            <w:proofErr w:type="spellStart"/>
            <w:r>
              <w:rPr>
                <w:color w:val="474747"/>
                <w:sz w:val="20"/>
                <w:szCs w:val="20"/>
              </w:rPr>
              <w:t>Ranciere</w:t>
            </w:r>
            <w:proofErr w:type="spellEnd"/>
            <w:r>
              <w:rPr>
                <w:color w:val="474747"/>
                <w:sz w:val="20"/>
                <w:szCs w:val="20"/>
              </w:rPr>
              <w:t>, “eski yöntem, zihinsel düzende yetişmenin başlıca düsturudur” der.</w:t>
            </w:r>
          </w:p>
          <w:p w14:paraId="0E1F7A3D" w14:textId="77777777" w:rsidR="00E462CF" w:rsidRDefault="00322FEB">
            <w:pPr>
              <w:pStyle w:val="NormalWeb"/>
              <w:shd w:val="clear" w:color="auto" w:fill="FFFFFF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 xml:space="preserve">Bilmediklerini bilginlerden öğrenmek değil, bilmediklerini başka cahillere öğretmek olduğunu söyleyen </w:t>
            </w:r>
            <w:proofErr w:type="spellStart"/>
            <w:r>
              <w:rPr>
                <w:color w:val="474747"/>
                <w:sz w:val="20"/>
                <w:szCs w:val="20"/>
              </w:rPr>
              <w:t>Ranciere</w:t>
            </w:r>
            <w:proofErr w:type="spellEnd"/>
            <w:r>
              <w:rPr>
                <w:color w:val="474747"/>
                <w:sz w:val="20"/>
                <w:szCs w:val="20"/>
              </w:rPr>
              <w:t>, zihni önce darmadağın ederek ardından dağılan parçalardan yepyeni bir kavram oluşturmuştur.</w:t>
            </w:r>
          </w:p>
        </w:tc>
      </w:tr>
    </w:tbl>
    <w:p w14:paraId="0A17A045" w14:textId="77777777" w:rsidR="00E462CF" w:rsidRDefault="00E462CF">
      <w:pPr>
        <w:jc w:val="both"/>
        <w:rPr>
          <w:sz w:val="20"/>
        </w:rPr>
      </w:pPr>
    </w:p>
    <w:p w14:paraId="476C29CB" w14:textId="77777777" w:rsidR="00E462CF" w:rsidRDefault="00322FEB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 </w:t>
      </w:r>
      <w:r>
        <w:rPr>
          <w:b/>
          <w:color w:val="000000"/>
          <w:sz w:val="20"/>
          <w:szCs w:val="22"/>
        </w:rPr>
        <w:t xml:space="preserve">Aday Öğretmen </w:t>
      </w:r>
    </w:p>
    <w:p w14:paraId="1B8C2977" w14:textId="77777777" w:rsidR="00E462CF" w:rsidRDefault="00322FEB">
      <w:pPr>
        <w:ind w:left="6372" w:firstLine="708"/>
      </w:pPr>
      <w:r>
        <w:rPr>
          <w:sz w:val="20"/>
          <w:szCs w:val="22"/>
        </w:rPr>
        <w:t xml:space="preserve">              Tarih</w:t>
      </w:r>
    </w:p>
    <w:p w14:paraId="6B1F701A" w14:textId="77777777" w:rsidR="00E462CF" w:rsidRDefault="00322FEB">
      <w:pPr>
        <w:ind w:left="6372" w:firstLine="708"/>
      </w:pPr>
      <w:r>
        <w:rPr>
          <w:sz w:val="20"/>
          <w:szCs w:val="22"/>
        </w:rPr>
        <w:t xml:space="preserve">          18/11/2017         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İmza </w:t>
      </w:r>
    </w:p>
    <w:p w14:paraId="301C864A" w14:textId="77777777" w:rsidR="00E462CF" w:rsidRDefault="00322FEB">
      <w:pPr>
        <w:tabs>
          <w:tab w:val="left" w:pos="8364"/>
        </w:tabs>
        <w:ind w:left="7080"/>
      </w:pPr>
      <w:r>
        <w:rPr>
          <w:sz w:val="20"/>
          <w:szCs w:val="22"/>
        </w:rPr>
        <w:t xml:space="preserve">           Adı Soyadı</w:t>
      </w:r>
    </w:p>
    <w:p w14:paraId="51588DA3" w14:textId="78E57B88" w:rsidR="00233734" w:rsidRDefault="00233734" w:rsidP="00233734"/>
    <w:p w14:paraId="4D3E8E5D" w14:textId="77777777" w:rsidR="00E462CF" w:rsidRDefault="00E462CF" w:rsidP="00233734">
      <w:pPr>
        <w:tabs>
          <w:tab w:val="left" w:pos="8364"/>
        </w:tabs>
        <w:ind w:left="7080"/>
      </w:pPr>
    </w:p>
    <w:sectPr w:rsidR="00E462CF">
      <w:headerReference w:type="default" r:id="rId6"/>
      <w:pgSz w:w="11906" w:h="16838"/>
      <w:pgMar w:top="1417" w:right="1417" w:bottom="708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C3FD7" w14:textId="77777777" w:rsidR="00061D4B" w:rsidRDefault="00061D4B">
      <w:r>
        <w:separator/>
      </w:r>
    </w:p>
  </w:endnote>
  <w:endnote w:type="continuationSeparator" w:id="0">
    <w:p w14:paraId="308C3903" w14:textId="77777777" w:rsidR="00061D4B" w:rsidRDefault="0006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63AC2" w14:textId="77777777" w:rsidR="00061D4B" w:rsidRDefault="00061D4B">
      <w:r>
        <w:separator/>
      </w:r>
    </w:p>
  </w:footnote>
  <w:footnote w:type="continuationSeparator" w:id="0">
    <w:p w14:paraId="2F3CAA1A" w14:textId="77777777" w:rsidR="00061D4B" w:rsidRDefault="0006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2D151" w14:textId="77777777" w:rsidR="00E462CF" w:rsidRDefault="00322FEB">
    <w:pPr>
      <w:ind w:left="709"/>
      <w:jc w:val="right"/>
    </w:pPr>
    <w:r>
      <w:rPr>
        <w:b/>
        <w:color w:val="000000"/>
      </w:rPr>
      <w:t>Form- 5</w:t>
    </w:r>
  </w:p>
  <w:p w14:paraId="2BE4FB0D" w14:textId="77777777" w:rsidR="00E462CF" w:rsidRDefault="00E462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2CF"/>
    <w:rsid w:val="00061D4B"/>
    <w:rsid w:val="00233734"/>
    <w:rsid w:val="00322FEB"/>
    <w:rsid w:val="0084529A"/>
    <w:rsid w:val="00E4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AF13"/>
  <w15:docId w15:val="{393679E8-DC38-4C72-B909-3ACF271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AD"/>
    <w:rPr>
      <w:rFonts w:ascii="Times New Roman" w:eastAsia="Times New Roman" w:hAnsi="Times New Roman" w:cs="Times New Roman"/>
      <w:color w:val="00000A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B5A96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NumaralamaSimgeleri">
    <w:name w:val="Numaralama Simgeleri"/>
    <w:qFormat/>
  </w:style>
  <w:style w:type="character" w:customStyle="1" w:styleId="apple-converted-space">
    <w:name w:val="apple-converted-space"/>
    <w:basedOn w:val="VarsaylanParagrafYazTipi"/>
    <w:qFormat/>
  </w:style>
  <w:style w:type="character" w:styleId="Vurgu">
    <w:name w:val="Emphasis"/>
    <w:basedOn w:val="VarsaylanParagrafYazTipi"/>
    <w:qFormat/>
    <w:rPr>
      <w:i/>
      <w:iCs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stBilgi">
    <w:name w:val="header"/>
    <w:basedOn w:val="Normal"/>
    <w:uiPriority w:val="99"/>
    <w:unhideWhenUsed/>
    <w:rsid w:val="00A241A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B5A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</w:pPr>
  </w:style>
  <w:style w:type="table" w:styleId="TabloKlavuzu">
    <w:name w:val="Table Grid"/>
    <w:basedOn w:val="NormalTablo"/>
    <w:uiPriority w:val="39"/>
    <w:rsid w:val="00A24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33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437</Words>
  <Characters>2496</Characters>
  <Application>Microsoft Office Word</Application>
  <DocSecurity>0</DocSecurity>
  <Lines>20</Lines>
  <Paragraphs>5</Paragraphs>
  <ScaleCrop>false</ScaleCrop>
  <Company>Silentall Unattended Installer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dc:description/>
  <cp:lastModifiedBy>Çağatay</cp:lastModifiedBy>
  <cp:revision>7</cp:revision>
  <cp:lastPrinted>2016-01-28T08:56:00Z</cp:lastPrinted>
  <dcterms:created xsi:type="dcterms:W3CDTF">2017-08-03T16:52:00Z</dcterms:created>
  <dcterms:modified xsi:type="dcterms:W3CDTF">2020-08-15T16:43:00Z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Silentall Unattended Installer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